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7363" w14:textId="77777777" w:rsidR="009435C0" w:rsidRPr="009435C0" w:rsidRDefault="009435C0" w:rsidP="009435C0">
      <w:pPr>
        <w:spacing w:before="240" w:after="240" w:line="360" w:lineRule="auto"/>
        <w:ind w:left="-1133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Старусева-Першеева </w:t>
      </w:r>
      <w:proofErr w:type="gramStart"/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>А.Д.</w:t>
      </w:r>
      <w:proofErr w:type="gramEnd"/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435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доцент</w:t>
      </w:r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>, Школа дизайна НИУ ВШЭ, apersheeva@hse.ru</w:t>
      </w:r>
    </w:p>
    <w:p w14:paraId="01E62D56" w14:textId="0DF9F0B3" w:rsidR="009435C0" w:rsidRPr="009435C0" w:rsidRDefault="009435C0" w:rsidP="009435C0">
      <w:pPr>
        <w:spacing w:before="240" w:after="240" w:line="360" w:lineRule="auto"/>
        <w:ind w:left="-1133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 xml:space="preserve">Фадеева </w:t>
      </w:r>
      <w:proofErr w:type="gramStart"/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>Т.Е.</w:t>
      </w:r>
      <w:proofErr w:type="gramEnd"/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435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доцент</w:t>
      </w:r>
      <w:r w:rsidRPr="009435C0">
        <w:rPr>
          <w:rFonts w:ascii="Times New Roman" w:eastAsia="Times New Roman" w:hAnsi="Times New Roman" w:cs="Times New Roman"/>
          <w:i/>
          <w:sz w:val="24"/>
          <w:szCs w:val="24"/>
        </w:rPr>
        <w:t>, Школа дизайна НИУ ВШЭ, tfadeeva@hse.ru</w:t>
      </w:r>
    </w:p>
    <w:p w14:paraId="00000003" w14:textId="77777777" w:rsidR="00984D6F" w:rsidRPr="009435C0" w:rsidRDefault="009435C0">
      <w:pPr>
        <w:spacing w:line="360" w:lineRule="auto"/>
        <w:ind w:left="-280" w:hanging="145"/>
        <w:rPr>
          <w:rFonts w:ascii="Times New Roman" w:eastAsia="Literata" w:hAnsi="Times New Roman" w:cs="Times New Roman"/>
          <w:b/>
          <w:sz w:val="28"/>
          <w:szCs w:val="28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  <w:r w:rsidRPr="009435C0">
        <w:rPr>
          <w:rFonts w:ascii="Times New Roman" w:eastAsia="Literata" w:hAnsi="Times New Roman" w:cs="Times New Roman"/>
          <w:b/>
          <w:sz w:val="24"/>
          <w:szCs w:val="24"/>
        </w:rPr>
        <w:t xml:space="preserve"> </w:t>
      </w:r>
    </w:p>
    <w:p w14:paraId="5BDF8D92" w14:textId="77777777" w:rsidR="003B551A" w:rsidRDefault="009435C0">
      <w:pPr>
        <w:spacing w:line="360" w:lineRule="auto"/>
        <w:ind w:left="-280" w:hanging="145"/>
        <w:jc w:val="center"/>
        <w:rPr>
          <w:rFonts w:ascii="Times New Roman" w:eastAsia="Literata" w:hAnsi="Times New Roman" w:cs="Times New Roman"/>
          <w:b/>
          <w:sz w:val="28"/>
          <w:szCs w:val="28"/>
        </w:rPr>
      </w:pPr>
      <w:r w:rsidRPr="009435C0">
        <w:rPr>
          <w:rFonts w:ascii="Times New Roman" w:eastAsia="Literata" w:hAnsi="Times New Roman" w:cs="Times New Roman"/>
          <w:b/>
          <w:sz w:val="28"/>
          <w:szCs w:val="28"/>
        </w:rPr>
        <w:t>VR как новая мистерия: экранный образ в поле пересечения кино,</w:t>
      </w:r>
    </w:p>
    <w:p w14:paraId="00000004" w14:textId="6686C925" w:rsidR="00984D6F" w:rsidRPr="009435C0" w:rsidRDefault="009435C0">
      <w:pPr>
        <w:spacing w:line="360" w:lineRule="auto"/>
        <w:ind w:left="-280" w:hanging="145"/>
        <w:jc w:val="center"/>
        <w:rPr>
          <w:rFonts w:ascii="Times New Roman" w:eastAsia="Literata" w:hAnsi="Times New Roman" w:cs="Times New Roman"/>
          <w:b/>
          <w:sz w:val="28"/>
          <w:szCs w:val="28"/>
        </w:rPr>
      </w:pPr>
      <w:r w:rsidRPr="009435C0">
        <w:rPr>
          <w:rFonts w:ascii="Times New Roman" w:eastAsia="Literata" w:hAnsi="Times New Roman" w:cs="Times New Roman"/>
          <w:b/>
          <w:sz w:val="28"/>
          <w:szCs w:val="28"/>
        </w:rPr>
        <w:t>театра и гейм-дизайна</w:t>
      </w:r>
    </w:p>
    <w:p w14:paraId="00000005" w14:textId="77777777" w:rsidR="00984D6F" w:rsidRPr="009435C0" w:rsidRDefault="009435C0">
      <w:pPr>
        <w:spacing w:line="360" w:lineRule="auto"/>
        <w:ind w:left="-280"/>
        <w:jc w:val="center"/>
        <w:rPr>
          <w:rFonts w:ascii="Times New Roman" w:eastAsia="Literata" w:hAnsi="Times New Roman" w:cs="Times New Roman"/>
          <w:sz w:val="32"/>
          <w:szCs w:val="32"/>
        </w:rPr>
      </w:pPr>
      <w:r w:rsidRPr="009435C0">
        <w:rPr>
          <w:rFonts w:ascii="Times New Roman" w:eastAsia="Literata" w:hAnsi="Times New Roman" w:cs="Times New Roman"/>
          <w:sz w:val="28"/>
          <w:szCs w:val="28"/>
        </w:rPr>
        <w:t xml:space="preserve"> </w:t>
      </w:r>
      <w:r w:rsidRPr="009435C0">
        <w:rPr>
          <w:rFonts w:ascii="Times New Roman" w:eastAsia="Literata" w:hAnsi="Times New Roman" w:cs="Times New Roman"/>
          <w:sz w:val="32"/>
          <w:szCs w:val="32"/>
        </w:rPr>
        <w:t xml:space="preserve">  </w:t>
      </w:r>
    </w:p>
    <w:p w14:paraId="00000006" w14:textId="77777777" w:rsidR="00984D6F" w:rsidRPr="009435C0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  <w:u w:val="single"/>
        </w:rPr>
      </w:pPr>
      <w:r w:rsidRPr="009435C0">
        <w:rPr>
          <w:rFonts w:ascii="Times New Roman" w:eastAsia="Literata" w:hAnsi="Times New Roman" w:cs="Times New Roman"/>
          <w:sz w:val="24"/>
          <w:szCs w:val="24"/>
          <w:u w:val="single"/>
        </w:rPr>
        <w:t>Аннотация:</w:t>
      </w:r>
    </w:p>
    <w:p w14:paraId="00000007" w14:textId="77777777" w:rsidR="00984D6F" w:rsidRPr="009435C0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</w:p>
    <w:p w14:paraId="00000008" w14:textId="77777777" w:rsidR="00984D6F" w:rsidRPr="009435C0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Прошедшее десятилетие было отмечено значительной интенсификацией разработок, связанных с виртуальной реальностью, используемой в образовательной, медицинской и военной отраслях, а также в массовой культуре (видеоигры) и современном искусстве – и внедрение этого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иммерсивного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медиума вызвало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парадигмальные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сдвиги в каждом из отмеченных направлений и смещение акцентов в системе «адресат-адресант».</w:t>
      </w:r>
    </w:p>
    <w:p w14:paraId="00000009" w14:textId="77777777" w:rsidR="00984D6F" w:rsidRPr="009435C0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>В фокусе настоящего исследования находятся фильмы, созданные для виртуальной реальности, и задача исследователей состоит в том, чтобы выявить и описать особые типы опыта, возможные в пространстве VR, и проследить «генеалогию» использованных в них приемов. Объектом исследования стали выпущенные в 2010-е годы произведения высокого художественного уровня, отмеченные в специальной программе Венецианского кинофестиваля и на других институциональных платформах, деятельность которых посвящена поискам новых форм языка экранных искусств.</w:t>
      </w:r>
    </w:p>
    <w:p w14:paraId="0000000A" w14:textId="2F8A379A" w:rsidR="00984D6F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>Ключевые тезисы авторов можно резюмировать следующим образом: развитие мультимедийных и междисциплинарных художественных практик, которым была отмечена вторая половина XX-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го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века, находит еще более яркое выражение сегодня, в частности, происходит сращивание экранных и перформативных форматов в современном искусстве. В XXI-м веке движущееся изображение становится привычным элементом театральной постановки, а интерактивный кинематограф возвращается к элементам театральной режиссуры и заимствует приемы из области гейм-дизайна. Виртуальная реальность становится зоной пересечения этих языков, поскольку реципиент оказывается одновременно зрителем и героем, активно взаимодействующим с интерактивной средой. Это требует перестройки коммуникативных стратегий: зритель-герой теперь является не тем, кто сугубо интеллектуально воспринимает рассказываемую </w:t>
      </w:r>
      <w:r w:rsidRPr="009435C0">
        <w:rPr>
          <w:rFonts w:ascii="Times New Roman" w:eastAsia="Literata" w:hAnsi="Times New Roman" w:cs="Times New Roman"/>
          <w:sz w:val="24"/>
          <w:szCs w:val="24"/>
        </w:rPr>
        <w:lastRenderedPageBreak/>
        <w:t xml:space="preserve">«историю», располагаясь в удобном кресле, а тем, кто аффективно включается в действие,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кинестетически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обнаруживая себя в системе возможностей и ограничений созданного художником VR-пространства. И перед автором стоит качественно новая задача: не просто прочертить линию нарратива, а выстроить произведение как поле, взаимодействуя с которым зритель сможет получить целостный опыт, обеспечить динамическое единство интеллекта и аффекта в восприятии того послания, которое несет в себе произведение.</w:t>
      </w:r>
    </w:p>
    <w:p w14:paraId="6483D214" w14:textId="77777777" w:rsidR="006C3396" w:rsidRPr="009435C0" w:rsidRDefault="006C3396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</w:p>
    <w:p w14:paraId="57A94E5C" w14:textId="0DB6834C" w:rsidR="006C3396" w:rsidRDefault="004B02FC" w:rsidP="006C3396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  <w:lang w:val="ru-RU"/>
        </w:rPr>
      </w:pPr>
      <w:r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В начале </w:t>
      </w:r>
      <w:r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исследования</w:t>
      </w:r>
      <w:r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мы опирались на гипотезу о том, что 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существует принципиальное различие между </w:t>
      </w:r>
      <w:r w:rsid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двумя типами </w:t>
      </w:r>
      <w:r w:rsidR="00882A23">
        <w:rPr>
          <w:rFonts w:ascii="Times New Roman" w:eastAsia="Literata" w:hAnsi="Times New Roman" w:cs="Times New Roman"/>
          <w:sz w:val="24"/>
          <w:szCs w:val="24"/>
          <w:lang w:val="en-US"/>
        </w:rPr>
        <w:t>VR</w:t>
      </w:r>
      <w:r w:rsidR="00882A23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-</w:t>
      </w:r>
      <w:r w:rsid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проектов: </w:t>
      </w:r>
      <w:r w:rsidR="00D72AB2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а) 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произведениями, наследующими классическому киноискусству, где акцент ставится на зрелищности, понимаемой в привычном смысле и </w:t>
      </w:r>
      <w:proofErr w:type="spellStart"/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задействующей</w:t>
      </w:r>
      <w:proofErr w:type="spellEnd"/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</w:t>
      </w:r>
      <w:r w:rsidR="00E44983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преимущественно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</w:t>
      </w:r>
      <w:r w:rsidR="00882A23">
        <w:rPr>
          <w:rFonts w:ascii="Times New Roman" w:eastAsia="Literata" w:hAnsi="Times New Roman" w:cs="Times New Roman"/>
          <w:sz w:val="24"/>
          <w:szCs w:val="24"/>
          <w:lang w:val="ru-RU"/>
        </w:rPr>
        <w:t>аудио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визуальный канал</w:t>
      </w:r>
      <w:r w:rsidR="00D72AB2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, и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</w:t>
      </w:r>
      <w:r w:rsidR="00D72AB2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б) 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произведениями, ориентированными на телесное вовлечение зрителя-игрока через движение и кинестетический канал восприятия, </w:t>
      </w:r>
      <w:r w:rsidR="00D72AB2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задействуя стратегии</w:t>
      </w:r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</w:t>
      </w:r>
      <w:r w:rsidR="0079582B">
        <w:rPr>
          <w:rFonts w:ascii="Times New Roman" w:eastAsia="Literata" w:hAnsi="Times New Roman" w:cs="Times New Roman"/>
          <w:sz w:val="24"/>
          <w:szCs w:val="24"/>
          <w:lang w:val="ru-RU"/>
        </w:rPr>
        <w:t>театральной мизансцены и</w:t>
      </w:r>
      <w:r w:rsidR="00D72AB2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гейм-дизайна</w:t>
      </w:r>
      <w:r w:rsidR="006C3396" w:rsidRPr="00882A23">
        <w:rPr>
          <w:rFonts w:ascii="Times New Roman" w:eastAsia="Literata" w:hAnsi="Times New Roman" w:cs="Times New Roman"/>
          <w:sz w:val="24"/>
          <w:szCs w:val="24"/>
          <w:lang w:val="ru-RU"/>
        </w:rPr>
        <w:t>.</w:t>
      </w:r>
    </w:p>
    <w:p w14:paraId="39E262D2" w14:textId="77777777" w:rsidR="006C3396" w:rsidRDefault="006C3396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  <w:lang w:val="ru-RU"/>
        </w:rPr>
      </w:pPr>
    </w:p>
    <w:p w14:paraId="37521E83" w14:textId="45E85069" w:rsidR="003B551A" w:rsidRDefault="009435C0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В </w:t>
      </w:r>
      <w:r w:rsidR="004B02FC">
        <w:rPr>
          <w:rFonts w:ascii="Times New Roman" w:eastAsia="Literata" w:hAnsi="Times New Roman" w:cs="Times New Roman"/>
          <w:sz w:val="24"/>
          <w:szCs w:val="24"/>
          <w:lang w:val="ru-RU"/>
        </w:rPr>
        <w:t>рамках исследовании</w:t>
      </w: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  <w:r w:rsidR="004B02FC">
        <w:rPr>
          <w:rFonts w:ascii="Times New Roman" w:eastAsia="Literata" w:hAnsi="Times New Roman" w:cs="Times New Roman"/>
          <w:sz w:val="24"/>
          <w:szCs w:val="24"/>
          <w:lang w:val="ru-RU"/>
        </w:rPr>
        <w:t>были проанализированы</w:t>
      </w: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примеры</w:t>
      </w:r>
      <w:r w:rsidR="004B02FC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успешных мультимедийных проектов</w:t>
      </w:r>
      <w:r w:rsidRPr="009435C0">
        <w:rPr>
          <w:rFonts w:ascii="Times New Roman" w:eastAsia="Literata" w:hAnsi="Times New Roman" w:cs="Times New Roman"/>
          <w:sz w:val="24"/>
          <w:szCs w:val="24"/>
        </w:rPr>
        <w:t>, где</w:t>
      </w:r>
      <w:r w:rsidR="004B02FC">
        <w:rPr>
          <w:rFonts w:ascii="Times New Roman" w:eastAsia="Literata" w:hAnsi="Times New Roman" w:cs="Times New Roman"/>
          <w:sz w:val="24"/>
          <w:szCs w:val="24"/>
          <w:lang w:val="ru-RU"/>
        </w:rPr>
        <w:t>,</w:t>
      </w: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  <w:r w:rsidR="004B02FC" w:rsidRPr="009435C0">
        <w:rPr>
          <w:rFonts w:ascii="Times New Roman" w:eastAsia="Literata" w:hAnsi="Times New Roman" w:cs="Times New Roman"/>
          <w:sz w:val="24"/>
          <w:szCs w:val="24"/>
        </w:rPr>
        <w:t xml:space="preserve">с одной стороны, </w:t>
      </w: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приемы традиционного театра и кино усилены за счет виртуальной реальности («Заброшенный»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Цая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Минляна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, «Контейнер»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Саймона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Вуда и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Мегны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Сингх), с другой стороны, </w:t>
      </w:r>
      <w:r w:rsidR="004B02FC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в поле внимания авторов попали проекты</w:t>
      </w:r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, построенные на приемах, принципиально недоступных прежним формам искусства («Палач идет домой» Мишель и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Ури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Кранотов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>, «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Самсара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>» Хуана Синь-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цзяня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 xml:space="preserve">, «Плоть и песок» Алехандро Гонсалеса </w:t>
      </w:r>
      <w:proofErr w:type="spellStart"/>
      <w:r w:rsidRPr="009435C0">
        <w:rPr>
          <w:rFonts w:ascii="Times New Roman" w:eastAsia="Literata" w:hAnsi="Times New Roman" w:cs="Times New Roman"/>
          <w:sz w:val="24"/>
          <w:szCs w:val="24"/>
        </w:rPr>
        <w:t>Иньярриту</w:t>
      </w:r>
      <w:proofErr w:type="spellEnd"/>
      <w:r w:rsidRPr="009435C0">
        <w:rPr>
          <w:rFonts w:ascii="Times New Roman" w:eastAsia="Literata" w:hAnsi="Times New Roman" w:cs="Times New Roman"/>
          <w:sz w:val="24"/>
          <w:szCs w:val="24"/>
        </w:rPr>
        <w:t>).</w:t>
      </w:r>
    </w:p>
    <w:p w14:paraId="7B92F90D" w14:textId="77777777" w:rsidR="00882A23" w:rsidRDefault="00882A23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</w:rPr>
      </w:pPr>
    </w:p>
    <w:p w14:paraId="0000000B" w14:textId="3BB76C83" w:rsidR="00984D6F" w:rsidRPr="0079582B" w:rsidRDefault="00D72AB2" w:rsidP="005834B7">
      <w:pPr>
        <w:spacing w:line="360" w:lineRule="auto"/>
        <w:ind w:left="-280"/>
        <w:rPr>
          <w:rFonts w:ascii="Times New Roman" w:eastAsia="Literata" w:hAnsi="Times New Roman" w:cs="Times New Roman"/>
          <w:sz w:val="24"/>
          <w:szCs w:val="24"/>
          <w:lang w:val="ru-RU"/>
        </w:rPr>
      </w:pPr>
      <w:r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Формальный 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и структурный анализ этих проектов дал нам возможность частично подтвердить и скорректировать исходную гипотезу: несмотря на то, что степень интерактивности в произведениях первого и второго типов заметно отличается, что позволяет указывать на значимое различие между ними, элементы киноязыка, театральной </w:t>
      </w:r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режиссуры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и гейм-дизайна всегда сосуществуют в пространстве виртуальной реальности. Более того, именно соединение элементов этих знаковых систем дает нам возможность анализировать 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en-US"/>
        </w:rPr>
        <w:t>VR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-проект как принципиально новый тип синтетического произведения и указать на его эстетические возможности. Главной из них становится возможность сочетания приемов </w:t>
      </w:r>
      <w:proofErr w:type="spellStart"/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мимесиса</w:t>
      </w:r>
      <w:proofErr w:type="spellEnd"/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, 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вовлечения и идентификации с героем (киноязык)</w:t>
      </w:r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,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включени</w:t>
      </w:r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я</w:t>
      </w:r>
      <w:r w:rsidR="005834B7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тела и пространственного решения (театр), а также </w:t>
      </w:r>
      <w:proofErr w:type="spellStart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проактивности</w:t>
      </w:r>
      <w:proofErr w:type="spellEnd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зрителя как действующего лица (игровая механика) – реципиент не просто </w:t>
      </w:r>
      <w:proofErr w:type="spellStart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эмпатически</w:t>
      </w:r>
      <w:proofErr w:type="spellEnd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</w:t>
      </w:r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lastRenderedPageBreak/>
        <w:t>включается в «</w:t>
      </w:r>
      <w:proofErr w:type="spellStart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сеттинг</w:t>
      </w:r>
      <w:proofErr w:type="spellEnd"/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»</w:t>
      </w:r>
      <w:r w:rsidR="0079582B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 мира, созданного художником</w:t>
      </w:r>
      <w:r w:rsidR="00882A23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 xml:space="preserve">, но и становится как бы одной из фигур знака, преображающейся вместе с произведением как целым. Таким образом, мы утверждаем, что </w:t>
      </w:r>
      <w:r w:rsidR="00E94648" w:rsidRPr="0079582B">
        <w:rPr>
          <w:rFonts w:ascii="Times New Roman" w:eastAsia="Literata" w:hAnsi="Times New Roman" w:cs="Times New Roman"/>
          <w:sz w:val="24"/>
          <w:szCs w:val="24"/>
          <w:lang w:val="ru-RU"/>
        </w:rPr>
        <w:t>подобные</w:t>
      </w:r>
      <w:r w:rsidR="009435C0" w:rsidRPr="0079582B">
        <w:rPr>
          <w:rFonts w:ascii="Times New Roman" w:eastAsia="Literata" w:hAnsi="Times New Roman" w:cs="Times New Roman"/>
          <w:sz w:val="24"/>
          <w:szCs w:val="24"/>
        </w:rPr>
        <w:t xml:space="preserve"> проекты для виртуальной реальности могут мыслиться как новый вид мистерии, пространство яркого трансформационного опыта.</w:t>
      </w:r>
    </w:p>
    <w:p w14:paraId="00000014" w14:textId="5C013EF7" w:rsidR="00984D6F" w:rsidRPr="003B551A" w:rsidRDefault="00984D6F">
      <w:pPr>
        <w:spacing w:line="360" w:lineRule="auto"/>
        <w:rPr>
          <w:rFonts w:ascii="Times New Roman" w:hAnsi="Times New Roman" w:cs="Times New Roman"/>
          <w:lang w:val="ru-RU"/>
        </w:rPr>
      </w:pPr>
    </w:p>
    <w:sectPr w:rsidR="00984D6F" w:rsidRPr="003B55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erata">
    <w:panose1 w:val="00000000000000000000"/>
    <w:charset w:val="00"/>
    <w:family w:val="auto"/>
    <w:pitch w:val="variable"/>
    <w:sig w:usb0="E00002F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6F"/>
    <w:rsid w:val="003B551A"/>
    <w:rsid w:val="004B02FC"/>
    <w:rsid w:val="005834B7"/>
    <w:rsid w:val="006C3396"/>
    <w:rsid w:val="0079582B"/>
    <w:rsid w:val="00882A23"/>
    <w:rsid w:val="009435C0"/>
    <w:rsid w:val="00984D6F"/>
    <w:rsid w:val="00AE365D"/>
    <w:rsid w:val="00D72AB2"/>
    <w:rsid w:val="00E44983"/>
    <w:rsid w:val="00E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6F63A"/>
  <w15:docId w15:val="{3C8CD1F2-5F97-8B4E-A56B-B6638A0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Perche</cp:lastModifiedBy>
  <cp:revision>6</cp:revision>
  <dcterms:created xsi:type="dcterms:W3CDTF">2021-11-21T21:54:00Z</dcterms:created>
  <dcterms:modified xsi:type="dcterms:W3CDTF">2021-12-18T21:32:00Z</dcterms:modified>
</cp:coreProperties>
</file>